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A98F" w14:textId="073A06ED" w:rsidR="002120C7" w:rsidRDefault="002120C7" w:rsidP="002120C7">
      <w:pPr>
        <w:pBdr>
          <w:bottom w:val="single" w:sz="4" w:space="1" w:color="auto"/>
        </w:pBdr>
        <w:spacing w:after="0" w:line="252" w:lineRule="auto"/>
        <w:rPr>
          <w:rFonts w:eastAsia="Times New Roman"/>
          <w:b/>
          <w:bCs/>
          <w:sz w:val="28"/>
          <w:szCs w:val="28"/>
        </w:rPr>
      </w:pPr>
      <w:r w:rsidRPr="002120C7">
        <w:rPr>
          <w:rFonts w:eastAsia="Times New Roman"/>
          <w:b/>
          <w:bCs/>
          <w:sz w:val="28"/>
          <w:szCs w:val="28"/>
        </w:rPr>
        <w:t>Opvolgen van leerlingen zonder school</w:t>
      </w:r>
    </w:p>
    <w:p w14:paraId="2BE83ABA" w14:textId="69A5DA1B" w:rsidR="002120C7" w:rsidRPr="002120C7" w:rsidRDefault="002120C7" w:rsidP="002120C7">
      <w:pPr>
        <w:pBdr>
          <w:bottom w:val="single" w:sz="4" w:space="1" w:color="auto"/>
        </w:pBdr>
        <w:spacing w:after="0" w:line="252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LOP afspraak te goedkeuring op AV van LOP Aalst SO</w:t>
      </w:r>
    </w:p>
    <w:p w14:paraId="2D075504" w14:textId="0D553546" w:rsidR="002120C7" w:rsidRDefault="002120C7" w:rsidP="002120C7">
      <w:pPr>
        <w:spacing w:after="0" w:line="252" w:lineRule="auto"/>
        <w:rPr>
          <w:rFonts w:eastAsia="Times New Roman"/>
          <w:b/>
          <w:bCs/>
        </w:rPr>
      </w:pPr>
    </w:p>
    <w:p w14:paraId="18E98876" w14:textId="00B20B26" w:rsidR="002120C7" w:rsidRPr="008465A9" w:rsidRDefault="002120C7" w:rsidP="008465A9">
      <w:pPr>
        <w:pStyle w:val="Lijstalinea"/>
        <w:numPr>
          <w:ilvl w:val="0"/>
          <w:numId w:val="4"/>
        </w:numPr>
        <w:spacing w:line="252" w:lineRule="auto"/>
        <w:rPr>
          <w:rFonts w:eastAsia="Times New Roman"/>
          <w:b/>
          <w:bCs/>
          <w:u w:val="single"/>
        </w:rPr>
      </w:pPr>
      <w:r w:rsidRPr="008465A9">
        <w:rPr>
          <w:rFonts w:eastAsia="Times New Roman"/>
          <w:b/>
          <w:bCs/>
          <w:u w:val="single"/>
        </w:rPr>
        <w:t>Vragen aan het LOP</w:t>
      </w:r>
      <w:r w:rsidR="008465A9">
        <w:rPr>
          <w:rFonts w:eastAsia="Times New Roman"/>
          <w:b/>
          <w:bCs/>
          <w:u w:val="single"/>
        </w:rPr>
        <w:t xml:space="preserve"> – aanleiding voor de LOP afspraak</w:t>
      </w:r>
    </w:p>
    <w:p w14:paraId="283F21C1" w14:textId="18FEC042" w:rsidR="002120C7" w:rsidRDefault="002120C7" w:rsidP="002120C7">
      <w:pPr>
        <w:spacing w:after="0" w:line="252" w:lineRule="auto"/>
        <w:rPr>
          <w:rFonts w:eastAsia="Times New Roman"/>
          <w:b/>
          <w:bCs/>
        </w:rPr>
      </w:pPr>
    </w:p>
    <w:p w14:paraId="4D737806" w14:textId="4E638300" w:rsidR="002120C7" w:rsidRPr="00EF6C8F" w:rsidRDefault="002120C7" w:rsidP="002120C7">
      <w:pPr>
        <w:pStyle w:val="Lijstalinea"/>
        <w:numPr>
          <w:ilvl w:val="0"/>
          <w:numId w:val="1"/>
        </w:numPr>
        <w:rPr>
          <w:rFonts w:eastAsia="Times New Roman"/>
        </w:rPr>
      </w:pPr>
      <w:r w:rsidRPr="00EF6C8F">
        <w:rPr>
          <w:rFonts w:eastAsia="Times New Roman"/>
        </w:rPr>
        <w:t>Wie is wanneer aan zet</w:t>
      </w:r>
      <w:r>
        <w:rPr>
          <w:rFonts w:eastAsia="Times New Roman"/>
        </w:rPr>
        <w:t xml:space="preserve"> om </w:t>
      </w:r>
      <w:proofErr w:type="spellStart"/>
      <w:r>
        <w:rPr>
          <w:rFonts w:eastAsia="Times New Roman"/>
        </w:rPr>
        <w:t>lln</w:t>
      </w:r>
      <w:proofErr w:type="spellEnd"/>
      <w:r>
        <w:rPr>
          <w:rFonts w:eastAsia="Times New Roman"/>
        </w:rPr>
        <w:t xml:space="preserve"> zonder school op te volgen</w:t>
      </w:r>
      <w:r w:rsidRPr="00EF6C8F">
        <w:rPr>
          <w:rFonts w:eastAsia="Times New Roman"/>
        </w:rPr>
        <w:t xml:space="preserve"> ? </w:t>
      </w:r>
      <w:r>
        <w:rPr>
          <w:rFonts w:eastAsia="Times New Roman"/>
        </w:rPr>
        <w:br/>
      </w:r>
      <w:r w:rsidRPr="00EF6C8F">
        <w:rPr>
          <w:rFonts w:eastAsia="Times New Roman"/>
        </w:rPr>
        <w:t xml:space="preserve">(ouder, </w:t>
      </w:r>
      <w:proofErr w:type="spellStart"/>
      <w:r w:rsidRPr="00EF6C8F">
        <w:rPr>
          <w:rFonts w:eastAsia="Times New Roman"/>
        </w:rPr>
        <w:t>ll</w:t>
      </w:r>
      <w:proofErr w:type="spellEnd"/>
      <w:r w:rsidRPr="00EF6C8F">
        <w:rPr>
          <w:rFonts w:eastAsia="Times New Roman"/>
        </w:rPr>
        <w:t>, CLB, uitschrijvende school, weigerende school)</w:t>
      </w:r>
    </w:p>
    <w:p w14:paraId="61D0644E" w14:textId="77777777" w:rsidR="002120C7" w:rsidRPr="00EF6C8F" w:rsidRDefault="002120C7" w:rsidP="002120C7">
      <w:pPr>
        <w:pStyle w:val="Lijstalinea"/>
        <w:numPr>
          <w:ilvl w:val="0"/>
          <w:numId w:val="1"/>
        </w:numPr>
        <w:rPr>
          <w:rFonts w:eastAsia="Times New Roman"/>
        </w:rPr>
      </w:pPr>
      <w:r w:rsidRPr="00EF6C8F">
        <w:rPr>
          <w:rFonts w:eastAsia="Times New Roman"/>
        </w:rPr>
        <w:t>Wat is er nodig als een leerling langer dan 14 dagen geen school vindt na een tuchtprocedure</w:t>
      </w:r>
    </w:p>
    <w:p w14:paraId="12A4F448" w14:textId="77777777" w:rsidR="002120C7" w:rsidRPr="00EF6C8F" w:rsidRDefault="002120C7" w:rsidP="002120C7">
      <w:pPr>
        <w:pStyle w:val="Lijstalinea"/>
        <w:numPr>
          <w:ilvl w:val="0"/>
          <w:numId w:val="1"/>
        </w:numPr>
        <w:rPr>
          <w:rFonts w:eastAsia="Times New Roman"/>
        </w:rPr>
      </w:pPr>
      <w:r w:rsidRPr="00EF6C8F">
        <w:rPr>
          <w:rFonts w:eastAsia="Times New Roman"/>
        </w:rPr>
        <w:t>Welke bevoegdheden heeft het LOP wel en niet</w:t>
      </w:r>
    </w:p>
    <w:p w14:paraId="5D3C2FDE" w14:textId="77777777" w:rsidR="002120C7" w:rsidRPr="00EF6C8F" w:rsidRDefault="002120C7" w:rsidP="002120C7">
      <w:pPr>
        <w:pStyle w:val="Lijstalinea"/>
        <w:numPr>
          <w:ilvl w:val="0"/>
          <w:numId w:val="1"/>
        </w:numPr>
        <w:rPr>
          <w:rFonts w:eastAsia="Times New Roman"/>
        </w:rPr>
      </w:pPr>
      <w:r w:rsidRPr="00EF6C8F">
        <w:rPr>
          <w:rFonts w:eastAsia="Times New Roman"/>
        </w:rPr>
        <w:t>Welke verwachtingen zijn er t.a.v. het LOP</w:t>
      </w:r>
    </w:p>
    <w:p w14:paraId="002260F9" w14:textId="77777777" w:rsidR="002120C7" w:rsidRPr="002120C7" w:rsidRDefault="002120C7" w:rsidP="002120C7">
      <w:pPr>
        <w:spacing w:after="0" w:line="252" w:lineRule="auto"/>
        <w:rPr>
          <w:rFonts w:eastAsia="Times New Roman"/>
          <w:b/>
          <w:bCs/>
        </w:rPr>
      </w:pPr>
    </w:p>
    <w:p w14:paraId="1433F596" w14:textId="76F0C967" w:rsidR="002120C7" w:rsidRPr="008465A9" w:rsidRDefault="002120C7" w:rsidP="008465A9">
      <w:pPr>
        <w:pStyle w:val="Lijstalinea"/>
        <w:numPr>
          <w:ilvl w:val="0"/>
          <w:numId w:val="4"/>
        </w:numPr>
        <w:spacing w:line="252" w:lineRule="auto"/>
        <w:rPr>
          <w:rFonts w:eastAsia="Times New Roman"/>
          <w:b/>
          <w:bCs/>
          <w:u w:val="single"/>
        </w:rPr>
      </w:pPr>
      <w:r w:rsidRPr="008465A9">
        <w:rPr>
          <w:rFonts w:eastAsia="Times New Roman"/>
          <w:b/>
          <w:bCs/>
          <w:u w:val="single"/>
        </w:rPr>
        <w:t xml:space="preserve">Regelgevend kader </w:t>
      </w:r>
    </w:p>
    <w:p w14:paraId="1AA6FA18" w14:textId="0F447A67" w:rsidR="002120C7" w:rsidRDefault="002120C7" w:rsidP="002120C7">
      <w:pPr>
        <w:spacing w:after="0" w:line="252" w:lineRule="auto"/>
        <w:rPr>
          <w:rFonts w:eastAsia="Times New Roman"/>
          <w:b/>
          <w:bCs/>
          <w:u w:val="single"/>
        </w:rPr>
      </w:pPr>
    </w:p>
    <w:p w14:paraId="5118871A" w14:textId="074434F2" w:rsidR="002120C7" w:rsidRDefault="00A81BDA" w:rsidP="002120C7">
      <w:pPr>
        <w:spacing w:after="0" w:line="252" w:lineRule="auto"/>
        <w:rPr>
          <w:rStyle w:val="Hyperlink"/>
          <w:rFonts w:eastAsia="Times New Roman"/>
        </w:rPr>
      </w:pPr>
      <w:hyperlink r:id="rId7" w:history="1">
        <w:r w:rsidR="002120C7" w:rsidRPr="00D53270">
          <w:rPr>
            <w:rStyle w:val="Hyperlink"/>
            <w:rFonts w:eastAsia="Times New Roman"/>
          </w:rPr>
          <w:t>https://onderwijs.vlaanderen.be/nl/ouders/wat-mag-en-moet-op-school/afspraken-in-het-schoolreglement/straffen-en-uitsluiten-in-het-secundair-onderwijs</w:t>
        </w:r>
      </w:hyperlink>
    </w:p>
    <w:p w14:paraId="5EAFCB81" w14:textId="191EF86B" w:rsidR="002120C7" w:rsidRDefault="002120C7" w:rsidP="002120C7">
      <w:pPr>
        <w:spacing w:after="0" w:line="252" w:lineRule="auto"/>
        <w:rPr>
          <w:rStyle w:val="Hyperlink"/>
          <w:rFonts w:eastAsia="Times New Roman"/>
        </w:rPr>
      </w:pPr>
    </w:p>
    <w:p w14:paraId="5E867FCA" w14:textId="77777777" w:rsidR="002120C7" w:rsidRPr="002120C7" w:rsidRDefault="002120C7" w:rsidP="00212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120C7">
        <w:rPr>
          <w:b/>
          <w:bCs/>
        </w:rPr>
        <w:t>Bij het beëindigen van de tuchtprocedure, zijn de school én het CLB verantwoordelijk om de ouder/jongere te ondersteunen bij het zoeken naar een nieuwe school.  Rekening houdend met schoolkeuze van de ouder, studierichting, haalbare afstand,…</w:t>
      </w:r>
    </w:p>
    <w:p w14:paraId="3883A82B" w14:textId="77777777" w:rsidR="002120C7" w:rsidRDefault="002120C7" w:rsidP="002120C7">
      <w:pPr>
        <w:spacing w:after="0" w:line="252" w:lineRule="auto"/>
        <w:rPr>
          <w:rFonts w:eastAsia="Times New Roman"/>
          <w:b/>
          <w:bCs/>
          <w:u w:val="single"/>
        </w:rPr>
      </w:pPr>
    </w:p>
    <w:p w14:paraId="18CE297B" w14:textId="60B08365" w:rsidR="002120C7" w:rsidRPr="002120C7" w:rsidRDefault="00A81BDA" w:rsidP="002120C7">
      <w:pPr>
        <w:spacing w:after="0" w:line="252" w:lineRule="auto"/>
        <w:rPr>
          <w:rFonts w:eastAsia="Times New Roman"/>
          <w:b/>
          <w:bCs/>
          <w:u w:val="single"/>
        </w:rPr>
      </w:pPr>
      <w:hyperlink r:id="rId8" w:history="1">
        <w:r w:rsidR="002120C7" w:rsidRPr="00D53270">
          <w:rPr>
            <w:rStyle w:val="Hyperlink"/>
            <w:rFonts w:eastAsia="Times New Roman"/>
          </w:rPr>
          <w:t>https://so.naarschoolindendermonde.be/inschrijvingsrecht/</w:t>
        </w:r>
      </w:hyperlink>
    </w:p>
    <w:p w14:paraId="426299CE" w14:textId="77777777" w:rsidR="002120C7" w:rsidRDefault="002120C7" w:rsidP="002120C7">
      <w:pPr>
        <w:spacing w:after="0" w:line="252" w:lineRule="auto"/>
        <w:rPr>
          <w:rFonts w:eastAsia="Times New Roman"/>
        </w:rPr>
      </w:pPr>
    </w:p>
    <w:p w14:paraId="38A3E7CC" w14:textId="471FD59C" w:rsidR="002120C7" w:rsidRPr="008465A9" w:rsidRDefault="002120C7" w:rsidP="008465A9">
      <w:pPr>
        <w:pStyle w:val="Lijstalinea"/>
        <w:numPr>
          <w:ilvl w:val="0"/>
          <w:numId w:val="4"/>
        </w:numPr>
        <w:rPr>
          <w:b/>
          <w:bCs/>
          <w:u w:val="single"/>
        </w:rPr>
      </w:pPr>
      <w:r w:rsidRPr="008465A9">
        <w:rPr>
          <w:b/>
          <w:bCs/>
          <w:u w:val="single"/>
        </w:rPr>
        <w:t>Verklarende situaties : leerlingen te lang zonder school na tuchtprocedure of een andere problematische situatie</w:t>
      </w:r>
    </w:p>
    <w:p w14:paraId="791AACC2" w14:textId="77777777" w:rsidR="002120C7" w:rsidRDefault="002120C7" w:rsidP="002120C7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Het regelgevend kader is soms niet duidelijk /is complex en/of wordt soms niet nageleefd</w:t>
      </w:r>
    </w:p>
    <w:p w14:paraId="0F62926E" w14:textId="77777777" w:rsidR="002120C7" w:rsidRDefault="002120C7" w:rsidP="002120C7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 ouder/CLB belt verschillende scholen op, waardoor het niet meer helder is welke school wel moet inschrijven en gebonden is aan de regelgeving.  M.a.w. welke school behoort tot de 1</w:t>
      </w:r>
      <w:r>
        <w:rPr>
          <w:rFonts w:eastAsia="Times New Roman"/>
          <w:vertAlign w:val="superscript"/>
        </w:rPr>
        <w:t>ste</w:t>
      </w:r>
      <w:r>
        <w:rPr>
          <w:rFonts w:eastAsia="Times New Roman"/>
        </w:rPr>
        <w:t xml:space="preserve"> keuze van de ouders ?  Of is een school van lagere schoolkeuze aan zet omdat de school van 1</w:t>
      </w:r>
      <w:r>
        <w:rPr>
          <w:rFonts w:eastAsia="Times New Roman"/>
          <w:vertAlign w:val="superscript"/>
        </w:rPr>
        <w:t>ste</w:t>
      </w:r>
      <w:r>
        <w:rPr>
          <w:rFonts w:eastAsia="Times New Roman"/>
        </w:rPr>
        <w:t xml:space="preserve"> keuze in de mogelijkheid is om reglementair te weigeren ?</w:t>
      </w:r>
    </w:p>
    <w:p w14:paraId="5398347E" w14:textId="77777777" w:rsidR="002120C7" w:rsidRDefault="002120C7" w:rsidP="002120C7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Er is onduidelijkheid over de datum van volzetverklaring</w:t>
      </w:r>
    </w:p>
    <w:p w14:paraId="112297E6" w14:textId="58EED970" w:rsidR="002120C7" w:rsidRDefault="002120C7" w:rsidP="002120C7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Een school heeft een draagkrachtprobleem en wenst niet in te schrijven/ er loopt een draagkrachtprocedure bij het LOP</w:t>
      </w:r>
    </w:p>
    <w:p w14:paraId="772A0906" w14:textId="7030E98B" w:rsidR="002120C7" w:rsidRDefault="002120C7" w:rsidP="002120C7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 leerling is niet </w:t>
      </w:r>
      <w:proofErr w:type="spellStart"/>
      <w:r>
        <w:rPr>
          <w:rFonts w:eastAsia="Times New Roman"/>
        </w:rPr>
        <w:t>schoolbaar</w:t>
      </w:r>
      <w:proofErr w:type="spellEnd"/>
    </w:p>
    <w:p w14:paraId="39CF9D14" w14:textId="3AF01AE2" w:rsidR="002120C7" w:rsidRDefault="002120C7" w:rsidP="002120C7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</w:t>
      </w:r>
    </w:p>
    <w:p w14:paraId="28441304" w14:textId="57BBFC37" w:rsidR="002120C7" w:rsidRPr="008465A9" w:rsidRDefault="002120C7" w:rsidP="008465A9">
      <w:pPr>
        <w:pStyle w:val="Lijstalinea"/>
        <w:numPr>
          <w:ilvl w:val="0"/>
          <w:numId w:val="4"/>
        </w:numPr>
        <w:spacing w:before="100" w:beforeAutospacing="1" w:after="100" w:afterAutospacing="1"/>
        <w:rPr>
          <w:rFonts w:eastAsia="Times New Roman"/>
          <w:b/>
          <w:bCs/>
          <w:u w:val="single"/>
        </w:rPr>
      </w:pPr>
      <w:r w:rsidRPr="008465A9">
        <w:rPr>
          <w:rFonts w:eastAsia="Times New Roman"/>
          <w:b/>
          <w:bCs/>
          <w:u w:val="single"/>
        </w:rPr>
        <w:t>Consensus-voorstel</w:t>
      </w:r>
      <w:r w:rsidR="008465A9" w:rsidRPr="008465A9">
        <w:rPr>
          <w:rFonts w:eastAsia="Times New Roman"/>
          <w:b/>
          <w:bCs/>
          <w:u w:val="single"/>
        </w:rPr>
        <w:t xml:space="preserve"> ter goedkeuring op de Algemene Vergadering : </w:t>
      </w:r>
    </w:p>
    <w:p w14:paraId="7DAEC966" w14:textId="77777777" w:rsidR="002120C7" w:rsidRPr="006D1E44" w:rsidRDefault="002120C7" w:rsidP="002120C7">
      <w:pPr>
        <w:pStyle w:val="Lijstalinea"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6D1E44">
        <w:rPr>
          <w:rFonts w:eastAsia="Times New Roman"/>
        </w:rPr>
        <w:t xml:space="preserve">In de </w:t>
      </w:r>
      <w:r w:rsidRPr="008465A9">
        <w:rPr>
          <w:rFonts w:eastAsia="Times New Roman"/>
          <w:b/>
          <w:bCs/>
          <w:u w:val="single"/>
        </w:rPr>
        <w:t>Cel Leerlingenbegeleiding</w:t>
      </w:r>
      <w:r w:rsidRPr="006D1E44">
        <w:rPr>
          <w:rFonts w:eastAsia="Times New Roman"/>
        </w:rPr>
        <w:t xml:space="preserve"> van elke secundaire school in Aalst wordt telkens na uitsluiting duidelijk welke leerling </w:t>
      </w:r>
      <w:r w:rsidRPr="008465A9">
        <w:rPr>
          <w:rFonts w:eastAsia="Times New Roman"/>
          <w:u w:val="single"/>
        </w:rPr>
        <w:t>na 14 dagen geen school heeft gevonden</w:t>
      </w:r>
      <w:r>
        <w:rPr>
          <w:rFonts w:eastAsia="Times New Roman"/>
        </w:rPr>
        <w:t xml:space="preserve">.  Zie ook de jaarlijkse overeenkomst van samenwerking tussen school en begeleidend CLB waarin de wijze van opvolging van definitief uitgesloten </w:t>
      </w:r>
      <w:proofErr w:type="spellStart"/>
      <w:r>
        <w:rPr>
          <w:rFonts w:eastAsia="Times New Roman"/>
        </w:rPr>
        <w:t>lln</w:t>
      </w:r>
      <w:proofErr w:type="spellEnd"/>
      <w:r>
        <w:rPr>
          <w:rFonts w:eastAsia="Times New Roman"/>
        </w:rPr>
        <w:t xml:space="preserve"> kan afgesproken worden.</w:t>
      </w:r>
    </w:p>
    <w:p w14:paraId="726FEE68" w14:textId="77777777" w:rsidR="003C1261" w:rsidRDefault="002120C7" w:rsidP="00AB555C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D6653A">
        <w:rPr>
          <w:rFonts w:eastAsia="Times New Roman"/>
        </w:rPr>
        <w:t>Als de situatie dermate geblokkeerd zit, dan neemt een CLB-medewerker of een leerlingbegeleider/</w:t>
      </w:r>
      <w:proofErr w:type="spellStart"/>
      <w:r w:rsidRPr="00D6653A">
        <w:rPr>
          <w:rFonts w:eastAsia="Times New Roman"/>
        </w:rPr>
        <w:t>leerkacht</w:t>
      </w:r>
      <w:proofErr w:type="spellEnd"/>
      <w:r w:rsidRPr="00D6653A">
        <w:rPr>
          <w:rFonts w:eastAsia="Times New Roman"/>
        </w:rPr>
        <w:t xml:space="preserve"> vanuit de Cel leerlingenbegeleiding contact op met de LOP deskundige (via mail) om aan te geven dat een leerling te lang zonder school zit</w:t>
      </w:r>
      <w:r w:rsidR="008465A9" w:rsidRPr="00D6653A">
        <w:rPr>
          <w:rFonts w:eastAsia="Times New Roman"/>
        </w:rPr>
        <w:t xml:space="preserve">.  De uitschrijvende school en/of begeleidend CLB gebruiken het sjabloon </w:t>
      </w:r>
      <w:r w:rsidR="008465A9" w:rsidRPr="00D6653A">
        <w:rPr>
          <w:rFonts w:eastAsia="Times New Roman"/>
          <w:u w:val="single"/>
        </w:rPr>
        <w:t>in bijlage</w:t>
      </w:r>
      <w:r w:rsidR="008465A9" w:rsidRPr="00D6653A">
        <w:rPr>
          <w:rFonts w:eastAsia="Times New Roman"/>
        </w:rPr>
        <w:t xml:space="preserve"> om het inschrijvingsprobleem te signaleren bij de LOP deskundig.</w:t>
      </w:r>
      <w:r w:rsidRPr="00D6653A">
        <w:rPr>
          <w:rFonts w:eastAsia="Times New Roman"/>
        </w:rPr>
        <w:br/>
        <w:t xml:space="preserve">Ernstige </w:t>
      </w:r>
      <w:proofErr w:type="spellStart"/>
      <w:r w:rsidRPr="00D6653A">
        <w:rPr>
          <w:rFonts w:eastAsia="Times New Roman"/>
        </w:rPr>
        <w:t>blokkage</w:t>
      </w:r>
      <w:proofErr w:type="spellEnd"/>
      <w:r w:rsidRPr="00D6653A">
        <w:rPr>
          <w:rFonts w:eastAsia="Times New Roman"/>
        </w:rPr>
        <w:t xml:space="preserve"> wil zeggen : het CLB en uitsluitende school geven aan dat ze alles binnen </w:t>
      </w:r>
      <w:r w:rsidRPr="00D6653A">
        <w:rPr>
          <w:rFonts w:eastAsia="Times New Roman"/>
        </w:rPr>
        <w:lastRenderedPageBreak/>
        <w:t>hun verantwoordelijkheid hebben gedaan om de leerling op school te krijgen, maar dat de leerling nog steeds niet is ingeschreven.  (zie bovenstaande mogelijke redenen)</w:t>
      </w:r>
    </w:p>
    <w:p w14:paraId="64C03450" w14:textId="4785C8AA" w:rsidR="00D6653A" w:rsidRPr="00D6653A" w:rsidRDefault="002120C7" w:rsidP="00AB555C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D6653A">
        <w:rPr>
          <w:rFonts w:eastAsia="Times New Roman"/>
        </w:rPr>
        <w:t xml:space="preserve">De LOP deskundige krijgt het mandaat om op ondersteunende wijze (zowel </w:t>
      </w:r>
      <w:proofErr w:type="spellStart"/>
      <w:r w:rsidRPr="00D6653A">
        <w:rPr>
          <w:rFonts w:eastAsia="Times New Roman"/>
        </w:rPr>
        <w:t>tav</w:t>
      </w:r>
      <w:proofErr w:type="spellEnd"/>
      <w:r w:rsidRPr="00D6653A">
        <w:rPr>
          <w:rFonts w:eastAsia="Times New Roman"/>
        </w:rPr>
        <w:t xml:space="preserve"> de ouder, het CLB als </w:t>
      </w:r>
      <w:proofErr w:type="spellStart"/>
      <w:r w:rsidRPr="00D6653A">
        <w:rPr>
          <w:rFonts w:eastAsia="Times New Roman"/>
        </w:rPr>
        <w:t>tav</w:t>
      </w:r>
      <w:proofErr w:type="spellEnd"/>
      <w:r w:rsidRPr="00D6653A">
        <w:rPr>
          <w:rFonts w:eastAsia="Times New Roman"/>
        </w:rPr>
        <w:t xml:space="preserve"> de school) de betrokken partners te contacteren en te bekijken wat de leerling verhindert om school te lopen</w:t>
      </w:r>
    </w:p>
    <w:p w14:paraId="1D52D51B" w14:textId="726D436A" w:rsidR="00D6653A" w:rsidRPr="00D6653A" w:rsidRDefault="002120C7" w:rsidP="00AB555C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D6653A">
        <w:rPr>
          <w:rFonts w:eastAsia="Times New Roman"/>
        </w:rPr>
        <w:t>Vooral bij situaties rond het ophelderen van de juiste regelgeving, onduidelijkheid rond volzetverklaringen, kan de LOP deskundige een (verbindende) rol spelen</w:t>
      </w:r>
    </w:p>
    <w:p w14:paraId="45B9041A" w14:textId="0AD4B5E5" w:rsidR="00D6653A" w:rsidRPr="00D6653A" w:rsidRDefault="002120C7" w:rsidP="00AB555C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D6653A">
        <w:rPr>
          <w:rFonts w:eastAsia="Times New Roman"/>
        </w:rPr>
        <w:t>Indien de leerling niet schoolloopt omwille van een spijbelproblematiek, kadert dit probleem zich binnen de leerplichtbegeleiding van het CLB</w:t>
      </w:r>
    </w:p>
    <w:p w14:paraId="33897D9F" w14:textId="22558416" w:rsidR="00AB555C" w:rsidRPr="00AB555C" w:rsidRDefault="00AB555C" w:rsidP="00AB555C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AB555C">
        <w:rPr>
          <w:rFonts w:eastAsia="Times New Roman"/>
        </w:rPr>
        <w:t xml:space="preserve">In de mail (bezorgd vanuit de cel Leerlingenbegeleiding) wordt opgegeven wie het </w:t>
      </w:r>
      <w:proofErr w:type="spellStart"/>
      <w:r w:rsidRPr="00AB555C">
        <w:rPr>
          <w:rFonts w:eastAsia="Times New Roman"/>
        </w:rPr>
        <w:t>leerlingdossier</w:t>
      </w:r>
      <w:proofErr w:type="spellEnd"/>
      <w:r w:rsidRPr="00AB555C">
        <w:rPr>
          <w:rFonts w:eastAsia="Times New Roman"/>
        </w:rPr>
        <w:t xml:space="preserve"> vanuit het CLB en vanuit de uitsluitende school opvolgt</w:t>
      </w:r>
    </w:p>
    <w:p w14:paraId="3CA513D4" w14:textId="77777777" w:rsidR="00AB555C" w:rsidRDefault="00AB555C" w:rsidP="00AB555C">
      <w:pPr>
        <w:pStyle w:val="Lijstalinea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 jaarlijks organiseren we een overleg om de afspraak/samenwerking te evalueren (bv. hoeveel cases werden gesignaleerd, welke soort situaties kwamen voor, zijn er verfijningen/bijsturingen nodig inzake de samenwerking,…)</w:t>
      </w:r>
    </w:p>
    <w:sectPr w:rsidR="00AB555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17F6" w14:textId="77777777" w:rsidR="008465A9" w:rsidRDefault="008465A9" w:rsidP="008465A9">
      <w:pPr>
        <w:spacing w:after="0" w:line="240" w:lineRule="auto"/>
      </w:pPr>
      <w:r>
        <w:separator/>
      </w:r>
    </w:p>
  </w:endnote>
  <w:endnote w:type="continuationSeparator" w:id="0">
    <w:p w14:paraId="4C31B8EC" w14:textId="77777777" w:rsidR="008465A9" w:rsidRDefault="008465A9" w:rsidP="0084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27025"/>
      <w:docPartObj>
        <w:docPartGallery w:val="Page Numbers (Bottom of Page)"/>
        <w:docPartUnique/>
      </w:docPartObj>
    </w:sdtPr>
    <w:sdtEndPr/>
    <w:sdtContent>
      <w:p w14:paraId="62F0C0F3" w14:textId="19BD0167" w:rsidR="008465A9" w:rsidRDefault="008465A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342FED0" w14:textId="77777777" w:rsidR="008465A9" w:rsidRDefault="008465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F6C9" w14:textId="77777777" w:rsidR="008465A9" w:rsidRDefault="008465A9" w:rsidP="008465A9">
      <w:pPr>
        <w:spacing w:after="0" w:line="240" w:lineRule="auto"/>
      </w:pPr>
      <w:r>
        <w:separator/>
      </w:r>
    </w:p>
  </w:footnote>
  <w:footnote w:type="continuationSeparator" w:id="0">
    <w:p w14:paraId="44872FA2" w14:textId="77777777" w:rsidR="008465A9" w:rsidRDefault="008465A9" w:rsidP="0084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723"/>
    <w:multiLevelType w:val="hybridMultilevel"/>
    <w:tmpl w:val="9512500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437B"/>
    <w:multiLevelType w:val="hybridMultilevel"/>
    <w:tmpl w:val="A3E8A5B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4937"/>
    <w:multiLevelType w:val="hybridMultilevel"/>
    <w:tmpl w:val="A2FAC21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001"/>
    <w:multiLevelType w:val="hybridMultilevel"/>
    <w:tmpl w:val="C176759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7548D"/>
    <w:multiLevelType w:val="hybridMultilevel"/>
    <w:tmpl w:val="EA9C15E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872128">
    <w:abstractNumId w:val="4"/>
  </w:num>
  <w:num w:numId="2" w16cid:durableId="302464536">
    <w:abstractNumId w:val="0"/>
  </w:num>
  <w:num w:numId="3" w16cid:durableId="1051420703">
    <w:abstractNumId w:val="1"/>
  </w:num>
  <w:num w:numId="4" w16cid:durableId="1236161426">
    <w:abstractNumId w:val="3"/>
  </w:num>
  <w:num w:numId="5" w16cid:durableId="577136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C7"/>
    <w:rsid w:val="002120C7"/>
    <w:rsid w:val="003C1261"/>
    <w:rsid w:val="00774603"/>
    <w:rsid w:val="008465A9"/>
    <w:rsid w:val="00A81BDA"/>
    <w:rsid w:val="00AB555C"/>
    <w:rsid w:val="00D6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2026"/>
  <w15:chartTrackingRefBased/>
  <w15:docId w15:val="{2F5E808B-0430-4963-B95A-F59CCB83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20C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20C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2120C7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4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65A9"/>
  </w:style>
  <w:style w:type="paragraph" w:styleId="Voettekst">
    <w:name w:val="footer"/>
    <w:basedOn w:val="Standaard"/>
    <w:link w:val="VoettekstChar"/>
    <w:uiPriority w:val="99"/>
    <w:unhideWhenUsed/>
    <w:rsid w:val="0084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.naarschoolindendermonde.be/inschrijvingsrech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derwijs.vlaanderen.be/nl/ouders/wat-mag-en-moet-op-school/afspraken-in-het-schoolreglement/straffen-en-uitsluiten-in-het-secundair-onderwi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3257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2</cp:revision>
  <dcterms:created xsi:type="dcterms:W3CDTF">2023-11-03T08:41:00Z</dcterms:created>
  <dcterms:modified xsi:type="dcterms:W3CDTF">2023-11-03T08:41:00Z</dcterms:modified>
</cp:coreProperties>
</file>